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9D35" w14:textId="2B5A4507" w:rsidR="00064B0C" w:rsidRDefault="00064B0C" w:rsidP="00064B0C">
      <w:pPr>
        <w:rPr>
          <w:rFonts w:asciiTheme="majorHAnsi" w:hAnsiTheme="majorHAnsi"/>
          <w:caps/>
          <w:sz w:val="44"/>
          <w:szCs w:val="44"/>
        </w:rPr>
      </w:pPr>
      <w:r>
        <w:rPr>
          <w:rFonts w:asciiTheme="majorHAnsi" w:hAnsiTheme="majorHAnsi"/>
          <w:caps/>
          <w:noProof/>
          <w:sz w:val="44"/>
          <w:szCs w:val="44"/>
          <w:lang w:val="en-CA" w:eastAsia="en-CA"/>
        </w:rPr>
        <w:drawing>
          <wp:inline distT="0" distB="0" distL="0" distR="0" wp14:anchorId="3DC821DE" wp14:editId="09A04813">
            <wp:extent cx="6789600" cy="13528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9600" cy="135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F602A" w14:textId="77777777" w:rsidR="00C00D1A" w:rsidRPr="00324C4F" w:rsidRDefault="00C00D1A" w:rsidP="00C00D1A">
      <w:pPr>
        <w:jc w:val="center"/>
        <w:rPr>
          <w:rFonts w:asciiTheme="majorHAnsi" w:hAnsiTheme="majorHAnsi"/>
          <w:caps/>
          <w:sz w:val="32"/>
          <w:szCs w:val="32"/>
        </w:rPr>
      </w:pPr>
    </w:p>
    <w:p w14:paraId="6CC8DAC3" w14:textId="2557DE28" w:rsidR="00C00D1A" w:rsidRPr="002F1FDA" w:rsidRDefault="000403D0" w:rsidP="00C00D1A">
      <w:pPr>
        <w:jc w:val="center"/>
        <w:rPr>
          <w:rFonts w:asciiTheme="majorHAnsi" w:hAnsiTheme="majorHAnsi"/>
          <w:b/>
          <w:bCs/>
          <w:caps/>
          <w:sz w:val="32"/>
          <w:szCs w:val="32"/>
        </w:rPr>
      </w:pPr>
      <w:r w:rsidRPr="002F1FDA">
        <w:rPr>
          <w:rFonts w:asciiTheme="majorHAnsi" w:hAnsiTheme="majorHAnsi"/>
          <w:b/>
          <w:bCs/>
          <w:caps/>
          <w:sz w:val="32"/>
          <w:szCs w:val="32"/>
        </w:rPr>
        <w:t>29</w:t>
      </w:r>
      <w:r w:rsidR="00C00D1A" w:rsidRPr="002F1FDA">
        <w:rPr>
          <w:rFonts w:asciiTheme="majorHAnsi" w:hAnsiTheme="majorHAnsi"/>
          <w:b/>
          <w:bCs/>
          <w:caps/>
          <w:sz w:val="32"/>
          <w:szCs w:val="32"/>
        </w:rPr>
        <w:t xml:space="preserve"> </w:t>
      </w:r>
      <w:r w:rsidRPr="002F1FDA">
        <w:rPr>
          <w:rFonts w:asciiTheme="majorHAnsi" w:hAnsiTheme="majorHAnsi"/>
          <w:b/>
          <w:bCs/>
          <w:caps/>
          <w:sz w:val="32"/>
          <w:szCs w:val="32"/>
        </w:rPr>
        <w:t>March</w:t>
      </w:r>
      <w:r w:rsidR="00C00D1A" w:rsidRPr="002F1FDA">
        <w:rPr>
          <w:rFonts w:asciiTheme="majorHAnsi" w:hAnsiTheme="majorHAnsi"/>
          <w:b/>
          <w:bCs/>
          <w:caps/>
          <w:sz w:val="32"/>
          <w:szCs w:val="32"/>
        </w:rPr>
        <w:t xml:space="preserve"> 20</w:t>
      </w:r>
      <w:r w:rsidR="00A33271" w:rsidRPr="002F1FDA">
        <w:rPr>
          <w:rFonts w:asciiTheme="majorHAnsi" w:hAnsiTheme="majorHAnsi"/>
          <w:b/>
          <w:bCs/>
          <w:caps/>
          <w:sz w:val="32"/>
          <w:szCs w:val="32"/>
        </w:rPr>
        <w:t>2</w:t>
      </w:r>
      <w:r w:rsidRPr="002F1FDA">
        <w:rPr>
          <w:rFonts w:asciiTheme="majorHAnsi" w:hAnsiTheme="majorHAnsi"/>
          <w:b/>
          <w:bCs/>
          <w:caps/>
          <w:sz w:val="32"/>
          <w:szCs w:val="32"/>
        </w:rPr>
        <w:t>3</w:t>
      </w:r>
      <w:r w:rsidR="00C00D1A" w:rsidRPr="002F1FDA">
        <w:rPr>
          <w:rFonts w:asciiTheme="majorHAnsi" w:hAnsiTheme="majorHAnsi"/>
          <w:b/>
          <w:bCs/>
          <w:caps/>
          <w:sz w:val="32"/>
          <w:szCs w:val="32"/>
        </w:rPr>
        <w:t xml:space="preserve"> – </w:t>
      </w:r>
      <w:r w:rsidR="006738B8" w:rsidRPr="002F1FDA">
        <w:rPr>
          <w:rFonts w:asciiTheme="majorHAnsi" w:hAnsiTheme="majorHAnsi"/>
          <w:b/>
          <w:bCs/>
          <w:caps/>
          <w:sz w:val="32"/>
          <w:szCs w:val="32"/>
        </w:rPr>
        <w:t>15.00 CET (9.00 EST)</w:t>
      </w:r>
    </w:p>
    <w:p w14:paraId="36F25DED" w14:textId="6E26081A" w:rsidR="002F1FDA" w:rsidRPr="002F1FDA" w:rsidRDefault="002F1FDA" w:rsidP="00C00D1A">
      <w:pPr>
        <w:jc w:val="center"/>
        <w:rPr>
          <w:rFonts w:asciiTheme="majorHAnsi" w:hAnsiTheme="majorHAnsi"/>
          <w:b/>
          <w:bCs/>
          <w:caps/>
          <w:sz w:val="28"/>
          <w:szCs w:val="28"/>
        </w:rPr>
      </w:pPr>
      <w:r w:rsidRPr="002F1FDA">
        <w:rPr>
          <w:rFonts w:asciiTheme="majorHAnsi" w:hAnsiTheme="majorHAnsi"/>
          <w:b/>
          <w:bCs/>
          <w:caps/>
          <w:sz w:val="28"/>
          <w:szCs w:val="28"/>
        </w:rPr>
        <w:t>mission of canada to the eu - brussels</w:t>
      </w:r>
    </w:p>
    <w:p w14:paraId="7B8998EF" w14:textId="77777777" w:rsidR="00C3246E" w:rsidRPr="00324C4F" w:rsidRDefault="00C3246E" w:rsidP="00C00D1A">
      <w:pPr>
        <w:jc w:val="center"/>
        <w:rPr>
          <w:rFonts w:asciiTheme="majorHAnsi" w:hAnsiTheme="majorHAnsi"/>
          <w:caps/>
          <w:sz w:val="28"/>
          <w:szCs w:val="28"/>
        </w:rPr>
      </w:pPr>
    </w:p>
    <w:p w14:paraId="11AC4E5B" w14:textId="2E0B6B90" w:rsidR="00C00D1A" w:rsidRDefault="002F1FDA" w:rsidP="00C00D1A">
      <w:pPr>
        <w:jc w:val="center"/>
        <w:rPr>
          <w:rFonts w:asciiTheme="majorHAnsi" w:hAnsiTheme="majorHAnsi"/>
          <w:caps/>
          <w:sz w:val="28"/>
          <w:szCs w:val="28"/>
          <w:lang w:val="en-CA"/>
        </w:rPr>
      </w:pPr>
      <w:r>
        <w:rPr>
          <w:rFonts w:asciiTheme="majorHAnsi" w:hAnsiTheme="majorHAnsi"/>
          <w:caps/>
          <w:sz w:val="28"/>
          <w:szCs w:val="28"/>
          <w:lang w:val="en-CA"/>
        </w:rPr>
        <w:t>In-person &amp; virtual</w:t>
      </w:r>
      <w:r w:rsidR="00573302" w:rsidRPr="00C945C6">
        <w:rPr>
          <w:rFonts w:asciiTheme="majorHAnsi" w:hAnsiTheme="majorHAnsi"/>
          <w:caps/>
          <w:sz w:val="28"/>
          <w:szCs w:val="28"/>
          <w:lang w:val="en-CA"/>
        </w:rPr>
        <w:t xml:space="preserve"> Event</w:t>
      </w:r>
    </w:p>
    <w:p w14:paraId="072A39AD" w14:textId="77777777" w:rsidR="00C3246E" w:rsidRDefault="00C3246E" w:rsidP="00C00D1A">
      <w:pPr>
        <w:jc w:val="center"/>
        <w:rPr>
          <w:rFonts w:asciiTheme="majorHAnsi" w:hAnsiTheme="majorHAnsi"/>
          <w:caps/>
          <w:sz w:val="28"/>
          <w:szCs w:val="28"/>
          <w:lang w:val="en-CA"/>
        </w:rPr>
      </w:pPr>
    </w:p>
    <w:p w14:paraId="2469819B" w14:textId="77777777" w:rsidR="00AB01C0" w:rsidRDefault="00AB01C0" w:rsidP="006726A6">
      <w:pPr>
        <w:tabs>
          <w:tab w:val="left" w:pos="1985"/>
        </w:tabs>
        <w:rPr>
          <w:rFonts w:ascii="Calibri Light" w:hAnsi="Calibri Light"/>
          <w:caps/>
        </w:rPr>
      </w:pPr>
    </w:p>
    <w:p w14:paraId="6D27137B" w14:textId="04F8D5AA" w:rsidR="00892FC3" w:rsidRPr="00096437" w:rsidRDefault="00892FC3" w:rsidP="006726A6">
      <w:pPr>
        <w:tabs>
          <w:tab w:val="left" w:pos="1985"/>
        </w:tabs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096437">
        <w:rPr>
          <w:rFonts w:asciiTheme="majorHAnsi" w:hAnsiTheme="majorHAnsi" w:cstheme="majorHAnsi"/>
          <w:i/>
          <w:iCs/>
          <w:sz w:val="22"/>
          <w:szCs w:val="22"/>
          <w:u w:val="single"/>
        </w:rPr>
        <w:t>Description of Event</w:t>
      </w:r>
    </w:p>
    <w:p w14:paraId="5929925A" w14:textId="2AE07E5B" w:rsidR="00892FC3" w:rsidRPr="00096437" w:rsidRDefault="00892FC3" w:rsidP="006726A6">
      <w:pPr>
        <w:tabs>
          <w:tab w:val="left" w:pos="1985"/>
        </w:tabs>
        <w:rPr>
          <w:rFonts w:asciiTheme="majorHAnsi" w:hAnsiTheme="majorHAnsi" w:cstheme="majorHAnsi"/>
          <w:sz w:val="22"/>
          <w:szCs w:val="22"/>
        </w:rPr>
      </w:pPr>
    </w:p>
    <w:p w14:paraId="18C1F300" w14:textId="031D8705" w:rsidR="00892FC3" w:rsidRPr="00096437" w:rsidRDefault="00EC3C11" w:rsidP="003C3FDB">
      <w:pPr>
        <w:tabs>
          <w:tab w:val="left" w:pos="1985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On 21 </w:t>
      </w:r>
      <w:proofErr w:type="gramStart"/>
      <w:r w:rsidRPr="00096437">
        <w:rPr>
          <w:rFonts w:asciiTheme="majorHAnsi" w:hAnsiTheme="majorHAnsi" w:cstheme="majorHAnsi"/>
          <w:i/>
          <w:iCs/>
          <w:sz w:val="22"/>
          <w:szCs w:val="22"/>
        </w:rPr>
        <w:t>September,</w:t>
      </w:r>
      <w:proofErr w:type="gramEnd"/>
      <w:r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 2022, t</w:t>
      </w:r>
      <w:r w:rsidR="00892FC3" w:rsidRPr="00096437">
        <w:rPr>
          <w:rFonts w:asciiTheme="majorHAnsi" w:hAnsiTheme="majorHAnsi" w:cstheme="majorHAnsi"/>
          <w:i/>
          <w:iCs/>
          <w:sz w:val="22"/>
          <w:szCs w:val="22"/>
        </w:rPr>
        <w:t>he Canada-EU Comprehensive Economic and Trade Agreement (</w:t>
      </w:r>
      <w:r w:rsidR="00892FC3" w:rsidRPr="00096437">
        <w:rPr>
          <w:rFonts w:asciiTheme="majorHAnsi" w:hAnsiTheme="majorHAnsi" w:cstheme="majorHAnsi"/>
          <w:b/>
          <w:bCs/>
          <w:i/>
          <w:iCs/>
          <w:sz w:val="22"/>
          <w:szCs w:val="22"/>
        </w:rPr>
        <w:t>CETA</w:t>
      </w:r>
      <w:r w:rsidR="00892FC3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) </w:t>
      </w:r>
      <w:r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celebrated </w:t>
      </w:r>
      <w:r w:rsidR="00892FC3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its 5 year </w:t>
      </w:r>
      <w:proofErr w:type="spellStart"/>
      <w:r w:rsidR="00892FC3" w:rsidRPr="00096437">
        <w:rPr>
          <w:rFonts w:asciiTheme="majorHAnsi" w:hAnsiTheme="majorHAnsi" w:cstheme="majorHAnsi"/>
          <w:i/>
          <w:iCs/>
          <w:sz w:val="22"/>
          <w:szCs w:val="22"/>
        </w:rPr>
        <w:t>anniverary</w:t>
      </w:r>
      <w:proofErr w:type="spellEnd"/>
      <w:r w:rsidR="00892FC3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.  </w:t>
      </w:r>
      <w:r w:rsidR="00BB5C26" w:rsidRPr="00096437">
        <w:rPr>
          <w:rFonts w:asciiTheme="majorHAnsi" w:hAnsiTheme="majorHAnsi" w:cstheme="majorHAnsi"/>
          <w:i/>
          <w:iCs/>
          <w:sz w:val="22"/>
          <w:szCs w:val="22"/>
        </w:rPr>
        <w:t>In 2022, bilateral trade in goods reached EUR 77 billion, 66% higher than pre-CETA levels in 2016</w:t>
      </w:r>
      <w:r w:rsidR="00C2684A" w:rsidRPr="00096437">
        <w:rPr>
          <w:rFonts w:asciiTheme="majorHAnsi" w:hAnsiTheme="majorHAnsi" w:cstheme="majorHAnsi"/>
          <w:i/>
          <w:iCs/>
          <w:sz w:val="22"/>
          <w:szCs w:val="22"/>
        </w:rPr>
        <w:t>, and t</w:t>
      </w:r>
      <w:r w:rsidR="00BB5C26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otal bilateral trade </w:t>
      </w:r>
      <w:r w:rsidR="00C2684A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in services </w:t>
      </w:r>
      <w:r w:rsidR="00BB5C26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grew to </w:t>
      </w:r>
      <w:r w:rsidR="000F0ED5">
        <w:rPr>
          <w:rFonts w:asciiTheme="majorHAnsi" w:hAnsiTheme="majorHAnsi" w:cstheme="majorHAnsi"/>
          <w:i/>
          <w:iCs/>
          <w:sz w:val="22"/>
          <w:szCs w:val="22"/>
        </w:rPr>
        <w:t>EUR</w:t>
      </w:r>
      <w:r w:rsidR="00BB5C26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 28.4 billion in 2021. </w:t>
      </w:r>
      <w:r w:rsidR="00892FC3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While the increase and </w:t>
      </w:r>
      <w:proofErr w:type="spellStart"/>
      <w:r w:rsidR="002A4192" w:rsidRPr="00096437">
        <w:rPr>
          <w:rFonts w:asciiTheme="majorHAnsi" w:hAnsiTheme="majorHAnsi" w:cstheme="majorHAnsi"/>
          <w:i/>
          <w:iCs/>
          <w:sz w:val="22"/>
          <w:szCs w:val="22"/>
        </w:rPr>
        <w:t>resilence</w:t>
      </w:r>
      <w:proofErr w:type="spellEnd"/>
      <w:r w:rsidR="00892FC3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 of this trade </w:t>
      </w:r>
      <w:r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(even during the time of COVID) </w:t>
      </w:r>
      <w:r w:rsidR="00685127" w:rsidRPr="00096437">
        <w:rPr>
          <w:rFonts w:asciiTheme="majorHAnsi" w:hAnsiTheme="majorHAnsi" w:cstheme="majorHAnsi"/>
          <w:i/>
          <w:iCs/>
          <w:sz w:val="22"/>
          <w:szCs w:val="22"/>
        </w:rPr>
        <w:t>are</w:t>
      </w:r>
      <w:r w:rsidR="00892FC3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 impressive, CETA </w:t>
      </w:r>
      <w:r w:rsidRPr="00096437">
        <w:rPr>
          <w:rFonts w:asciiTheme="majorHAnsi" w:hAnsiTheme="majorHAnsi" w:cstheme="majorHAnsi"/>
          <w:i/>
          <w:iCs/>
          <w:sz w:val="22"/>
          <w:szCs w:val="22"/>
        </w:rPr>
        <w:t>represents</w:t>
      </w:r>
      <w:r w:rsidR="00892FC3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 more than just a trade agreement</w:t>
      </w:r>
      <w:r w:rsidRPr="00096437">
        <w:rPr>
          <w:rFonts w:asciiTheme="majorHAnsi" w:hAnsiTheme="majorHAnsi" w:cstheme="majorHAnsi"/>
          <w:i/>
          <w:iCs/>
          <w:sz w:val="22"/>
          <w:szCs w:val="22"/>
        </w:rPr>
        <w:t>:</w:t>
      </w:r>
      <w:r w:rsidR="00892FC3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it is a </w:t>
      </w:r>
      <w:r w:rsidR="002A4192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platform </w:t>
      </w:r>
      <w:r w:rsidR="00685127" w:rsidRPr="00096437">
        <w:rPr>
          <w:rFonts w:asciiTheme="majorHAnsi" w:hAnsiTheme="majorHAnsi" w:cstheme="majorHAnsi"/>
          <w:i/>
          <w:iCs/>
          <w:sz w:val="22"/>
          <w:szCs w:val="22"/>
        </w:rPr>
        <w:t>for partnership</w:t>
      </w:r>
      <w:r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7C78A4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for Canada and the European Union </w:t>
      </w:r>
      <w:r w:rsidR="00685127" w:rsidRPr="00096437">
        <w:rPr>
          <w:rFonts w:asciiTheme="majorHAnsi" w:hAnsiTheme="majorHAnsi" w:cstheme="majorHAnsi"/>
          <w:i/>
          <w:iCs/>
          <w:sz w:val="22"/>
          <w:szCs w:val="22"/>
        </w:rPr>
        <w:t>to engage on</w:t>
      </w:r>
      <w:r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 a wide range of economic and strategic issues, including supporting sustainable and inclusive trade.  This timely event will examine how </w:t>
      </w:r>
      <w:r w:rsidR="00C2684A" w:rsidRPr="00096437">
        <w:rPr>
          <w:rFonts w:asciiTheme="majorHAnsi" w:hAnsiTheme="majorHAnsi" w:cstheme="majorHAnsi"/>
          <w:i/>
          <w:iCs/>
          <w:sz w:val="22"/>
          <w:szCs w:val="22"/>
        </w:rPr>
        <w:t>CETA</w:t>
      </w:r>
      <w:r w:rsidR="007C78A4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685127" w:rsidRPr="00096437">
        <w:rPr>
          <w:rFonts w:asciiTheme="majorHAnsi" w:hAnsiTheme="majorHAnsi" w:cstheme="majorHAnsi"/>
          <w:i/>
          <w:iCs/>
          <w:sz w:val="22"/>
          <w:szCs w:val="22"/>
        </w:rPr>
        <w:t>can be leveraged</w:t>
      </w:r>
      <w:r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C2684A" w:rsidRPr="00096437">
        <w:rPr>
          <w:rFonts w:asciiTheme="majorHAnsi" w:hAnsiTheme="majorHAnsi" w:cstheme="majorHAnsi"/>
          <w:i/>
          <w:iCs/>
          <w:sz w:val="22"/>
          <w:szCs w:val="22"/>
        </w:rPr>
        <w:t xml:space="preserve">for businesses in Canada and the EU </w:t>
      </w:r>
      <w:r w:rsidRPr="00096437">
        <w:rPr>
          <w:rFonts w:asciiTheme="majorHAnsi" w:hAnsiTheme="majorHAnsi" w:cstheme="majorHAnsi"/>
          <w:i/>
          <w:iCs/>
          <w:sz w:val="22"/>
          <w:szCs w:val="22"/>
        </w:rPr>
        <w:t>moving forward</w:t>
      </w:r>
      <w:r w:rsidR="00C2684A" w:rsidRPr="00096437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0A9F6946" w14:textId="77777777" w:rsidR="0043633D" w:rsidRPr="00096437" w:rsidRDefault="0043633D" w:rsidP="006726A6">
      <w:pPr>
        <w:tabs>
          <w:tab w:val="left" w:pos="1985"/>
        </w:tabs>
        <w:rPr>
          <w:rFonts w:asciiTheme="majorHAnsi" w:hAnsiTheme="majorHAnsi" w:cstheme="majorHAnsi"/>
          <w:caps/>
          <w:sz w:val="22"/>
          <w:szCs w:val="22"/>
        </w:rPr>
      </w:pPr>
    </w:p>
    <w:tbl>
      <w:tblPr>
        <w:tblStyle w:val="Grilledutableau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8287"/>
      </w:tblGrid>
      <w:tr w:rsidR="005C3610" w:rsidRPr="00C3246E" w14:paraId="237E4316" w14:textId="77777777" w:rsidTr="00096437">
        <w:tc>
          <w:tcPr>
            <w:tcW w:w="2486" w:type="dxa"/>
          </w:tcPr>
          <w:p w14:paraId="3DE065C1" w14:textId="0420C025" w:rsidR="005C3610" w:rsidRPr="00096437" w:rsidRDefault="005C3610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09643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Time</w:t>
            </w:r>
          </w:p>
          <w:p w14:paraId="78C9CE65" w14:textId="77777777" w:rsidR="005C3610" w:rsidRPr="00096437" w:rsidRDefault="005C3610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287" w:type="dxa"/>
          </w:tcPr>
          <w:p w14:paraId="0063CA2A" w14:textId="0119A76B" w:rsidR="005C3610" w:rsidRPr="00096437" w:rsidRDefault="005C3610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09643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Topic</w:t>
            </w:r>
          </w:p>
          <w:p w14:paraId="70FFE197" w14:textId="0F4F5845" w:rsidR="00064B0C" w:rsidRPr="00096437" w:rsidRDefault="00064B0C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5C3610" w:rsidRPr="00C3246E" w14:paraId="238EF546" w14:textId="77777777" w:rsidTr="00096437">
        <w:tc>
          <w:tcPr>
            <w:tcW w:w="2486" w:type="dxa"/>
          </w:tcPr>
          <w:p w14:paraId="756E71D6" w14:textId="77777777" w:rsidR="00B95F53" w:rsidRPr="00096437" w:rsidRDefault="00B95F53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15.00 – 15.05</w:t>
            </w:r>
          </w:p>
          <w:p w14:paraId="177CBF92" w14:textId="3CC4BB58" w:rsidR="00B95F53" w:rsidRPr="00096437" w:rsidRDefault="00B95F53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87" w:type="dxa"/>
          </w:tcPr>
          <w:p w14:paraId="0B40C982" w14:textId="77777777" w:rsidR="0002424A" w:rsidRPr="00096437" w:rsidRDefault="006E580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Welcome &amp; Introduction</w:t>
            </w:r>
            <w:r w:rsidR="00E462FD"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096437">
              <w:rPr>
                <w:rFonts w:asciiTheme="majorHAnsi" w:hAnsiTheme="majorHAnsi" w:cstheme="majorHAnsi"/>
                <w:b/>
                <w:sz w:val="22"/>
                <w:szCs w:val="22"/>
              </w:rPr>
              <w:t>Reuben East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, Counsellor (Trade) Canada’s Mission to the European Union</w:t>
            </w:r>
          </w:p>
          <w:p w14:paraId="27CDF724" w14:textId="11C9F175" w:rsidR="006E580A" w:rsidRPr="00096437" w:rsidRDefault="006E580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3610" w:rsidRPr="00C3246E" w14:paraId="6F6D489E" w14:textId="77777777" w:rsidTr="00096437">
        <w:tc>
          <w:tcPr>
            <w:tcW w:w="2486" w:type="dxa"/>
          </w:tcPr>
          <w:p w14:paraId="1400955B" w14:textId="083D45FC" w:rsidR="00B95F53" w:rsidRPr="00096437" w:rsidRDefault="00B95F53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15.05 – 15.</w:t>
            </w:r>
            <w:r w:rsidR="001A5F60" w:rsidRPr="00096437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  <w:p w14:paraId="35BAA9FF" w14:textId="77777777" w:rsidR="00B95F53" w:rsidRPr="00096437" w:rsidRDefault="00B95F53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996463" w14:textId="77777777" w:rsidR="006E580A" w:rsidRPr="00096437" w:rsidRDefault="006E580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77460E" w14:textId="0EC75876" w:rsidR="006E580A" w:rsidRPr="00096437" w:rsidRDefault="006E580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15.10 – 15.15</w:t>
            </w:r>
          </w:p>
          <w:p w14:paraId="3E644610" w14:textId="1263E24A" w:rsidR="00A84745" w:rsidRPr="00096437" w:rsidRDefault="00A84745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87" w:type="dxa"/>
          </w:tcPr>
          <w:p w14:paraId="12522C50" w14:textId="52A2770F" w:rsidR="006E580A" w:rsidRPr="00096437" w:rsidRDefault="001A5F60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Opening remarks by the </w:t>
            </w:r>
            <w:proofErr w:type="spellStart"/>
            <w:r w:rsidRPr="000964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Honorable</w:t>
            </w:r>
            <w:proofErr w:type="spellEnd"/>
            <w:r w:rsidRPr="000964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Mary Ng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, Minister of Small  Business, Export Promotion and International Trade [</w:t>
            </w:r>
            <w:r w:rsidRPr="0009643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live or pre-recorded message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]</w:t>
            </w:r>
            <w:r w:rsidR="00580AFA" w:rsidRPr="00096437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580AFA" w:rsidRPr="004A4E7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 be confirmed</w:t>
            </w:r>
            <w:r w:rsidR="00580AFA" w:rsidRPr="0009643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EA12424" w14:textId="77777777" w:rsidR="006E580A" w:rsidRPr="00096437" w:rsidRDefault="006E580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E298FD" w14:textId="0BEDBA6D" w:rsidR="00F126B4" w:rsidRPr="00096437" w:rsidRDefault="006E580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Introduction of Canada’</w:t>
            </w:r>
            <w:r w:rsidR="00D3398A" w:rsidRPr="00096437">
              <w:rPr>
                <w:rFonts w:asciiTheme="majorHAnsi" w:hAnsiTheme="majorHAnsi" w:cstheme="majorHAnsi"/>
                <w:sz w:val="22"/>
                <w:szCs w:val="22"/>
              </w:rPr>
              <w:t>s Ambassador the European Union</w:t>
            </w:r>
            <w:r w:rsidR="00F126B4" w:rsidRPr="0009643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126B4" w:rsidRPr="00096437">
              <w:rPr>
                <w:rFonts w:asciiTheme="majorHAnsi" w:hAnsiTheme="majorHAnsi" w:cstheme="majorHAnsi"/>
                <w:b/>
                <w:sz w:val="22"/>
                <w:szCs w:val="22"/>
              </w:rPr>
              <w:t>Reuben East</w:t>
            </w:r>
            <w:r w:rsidR="00F126B4" w:rsidRPr="00096437">
              <w:rPr>
                <w:rFonts w:asciiTheme="majorHAnsi" w:hAnsiTheme="majorHAnsi" w:cstheme="majorHAnsi"/>
                <w:sz w:val="22"/>
                <w:szCs w:val="22"/>
              </w:rPr>
              <w:t>, Counsellor (Trade) Canada’s Mission to the European Union</w:t>
            </w:r>
          </w:p>
          <w:p w14:paraId="27E0A02B" w14:textId="7389217E" w:rsidR="00B95F53" w:rsidRPr="00096437" w:rsidRDefault="006E580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5C3610" w:rsidRPr="00C3246E" w14:paraId="1A5E06AD" w14:textId="77777777" w:rsidTr="00096437">
        <w:tc>
          <w:tcPr>
            <w:tcW w:w="2486" w:type="dxa"/>
          </w:tcPr>
          <w:p w14:paraId="138938FA" w14:textId="348FA38B" w:rsidR="001A5F60" w:rsidRPr="00096437" w:rsidRDefault="006E580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15.15</w:t>
            </w:r>
            <w:r w:rsidR="001A5F60"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– 15.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  <w:p w14:paraId="6AF67056" w14:textId="77777777" w:rsidR="00EC3C11" w:rsidRPr="00096437" w:rsidRDefault="00EC3C11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415AEE" w14:textId="77777777" w:rsidR="0043633D" w:rsidRPr="00096437" w:rsidRDefault="0043633D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AF59C6" w14:textId="214F8C32" w:rsidR="006E580A" w:rsidRPr="00096437" w:rsidRDefault="006E580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15.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– 15.2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  <w:p w14:paraId="461691F0" w14:textId="672B62BB" w:rsidR="006E580A" w:rsidRPr="00096437" w:rsidRDefault="006E580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87" w:type="dxa"/>
          </w:tcPr>
          <w:p w14:paraId="00ABCBEF" w14:textId="29432895" w:rsidR="00C2684A" w:rsidRPr="00096437" w:rsidRDefault="0069477F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</w:pPr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Address of </w:t>
            </w:r>
            <w:r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H.E. </w:t>
            </w:r>
            <w:proofErr w:type="spellStart"/>
            <w:r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Dr.</w:t>
            </w:r>
            <w:proofErr w:type="spellEnd"/>
            <w:r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Ailish Campbell</w:t>
            </w:r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, </w:t>
            </w:r>
            <w:r w:rsidR="006E580A"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>Canada’s</w:t>
            </w:r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Ambassador to the European Union</w:t>
            </w:r>
            <w:r w:rsidR="00580AFA"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(</w:t>
            </w:r>
            <w:r w:rsidR="00580AFA" w:rsidRPr="004A4E71">
              <w:rPr>
                <w:rFonts w:asciiTheme="majorHAnsi" w:hAnsiTheme="majorHAnsi" w:cstheme="majorHAnsi"/>
                <w:i/>
                <w:sz w:val="22"/>
                <w:szCs w:val="22"/>
              </w:rPr>
              <w:t>to be confirmed</w:t>
            </w:r>
            <w:r w:rsidR="00580AFA"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>)</w:t>
            </w:r>
          </w:p>
          <w:p w14:paraId="1BB9036B" w14:textId="77777777" w:rsidR="00C93F28" w:rsidRPr="00096437" w:rsidRDefault="00C93F28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</w:pPr>
          </w:p>
          <w:p w14:paraId="296AE2C7" w14:textId="1A288502" w:rsidR="0069477F" w:rsidRPr="00096437" w:rsidRDefault="00966CA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Introduction of </w:t>
            </w:r>
            <w:r w:rsidR="00685127"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European Commission </w:t>
            </w:r>
            <w:r w:rsidR="00F126B4" w:rsidRPr="00096437">
              <w:rPr>
                <w:rFonts w:asciiTheme="majorHAnsi" w:hAnsiTheme="majorHAnsi" w:cstheme="majorHAnsi"/>
                <w:sz w:val="22"/>
                <w:szCs w:val="22"/>
              </w:rPr>
              <w:t>Representative</w:t>
            </w:r>
            <w:r w:rsidR="00685127" w:rsidRPr="0009643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300C8E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</w:t>
            </w:r>
            <w:r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Sam Ayoub</w:t>
            </w:r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>, President of the Canada-Europe Economic Chamber</w:t>
            </w:r>
          </w:p>
          <w:p w14:paraId="6AE97C9A" w14:textId="403E19A7" w:rsidR="00C3246E" w:rsidRPr="00096437" w:rsidRDefault="00C3246E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3610" w:rsidRPr="00C3246E" w14:paraId="47DEC30B" w14:textId="77777777" w:rsidTr="00096437">
        <w:tc>
          <w:tcPr>
            <w:tcW w:w="2486" w:type="dxa"/>
          </w:tcPr>
          <w:p w14:paraId="68159E09" w14:textId="718D327D" w:rsidR="00324C4F" w:rsidRPr="00096437" w:rsidRDefault="0069477F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15.</w:t>
            </w:r>
            <w:r w:rsidR="006E580A" w:rsidRPr="0009643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– 15.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  <w:p w14:paraId="30007708" w14:textId="1CE34B45" w:rsidR="00966CAA" w:rsidRPr="00096437" w:rsidRDefault="00966CA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CB55FB" w14:textId="7A04CE47" w:rsidR="00966CAA" w:rsidRDefault="00966CA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0D0562" w14:textId="4BA3F26C" w:rsidR="0069477F" w:rsidRPr="00096437" w:rsidRDefault="00966CA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15.</w:t>
            </w:r>
            <w:r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30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– 15.</w:t>
            </w:r>
            <w:r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35</w:t>
            </w:r>
          </w:p>
          <w:p w14:paraId="2DF9D740" w14:textId="77777777" w:rsidR="00966CAA" w:rsidRPr="00096437" w:rsidRDefault="00966CA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  <w:p w14:paraId="3B6F50B6" w14:textId="77777777" w:rsidR="00966CAA" w:rsidRPr="00096437" w:rsidRDefault="00966CA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  <w:p w14:paraId="47C7D50E" w14:textId="5CA243EA" w:rsidR="00966CAA" w:rsidRPr="00096437" w:rsidRDefault="00966CA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15.35 – 15.</w:t>
            </w:r>
            <w:r w:rsidR="00CC6BF1" w:rsidRPr="0009643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  <w:p w14:paraId="79242093" w14:textId="77777777" w:rsidR="00966CAA" w:rsidRPr="00096437" w:rsidRDefault="00966CA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6C5382" w14:textId="77777777" w:rsidR="00966CAA" w:rsidRPr="00096437" w:rsidRDefault="00966CA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282627" w14:textId="2853BCA8" w:rsidR="00966CAA" w:rsidRPr="00096437" w:rsidRDefault="00966CA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15.</w:t>
            </w:r>
            <w:r w:rsidR="00CC6BF1"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5</w:t>
            </w:r>
            <w:r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0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– 16.</w:t>
            </w:r>
            <w:r w:rsidR="00CC6BF1"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1</w:t>
            </w:r>
            <w:r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0</w:t>
            </w:r>
          </w:p>
          <w:p w14:paraId="40207EB6" w14:textId="4CA0F6C8" w:rsidR="00966CAA" w:rsidRPr="00096437" w:rsidRDefault="00966CA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87" w:type="dxa"/>
          </w:tcPr>
          <w:p w14:paraId="08D0C73C" w14:textId="4CDC8A25" w:rsidR="00966CAA" w:rsidRPr="00096437" w:rsidRDefault="00966CA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Address of </w:t>
            </w:r>
            <w:r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Matthias </w:t>
            </w:r>
            <w:proofErr w:type="spellStart"/>
            <w:r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</w:t>
            </w:r>
            <w:r w:rsidR="00685127"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ø</w:t>
            </w:r>
            <w:r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rgensen</w:t>
            </w:r>
            <w:proofErr w:type="spellEnd"/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>, Head of Unit for USA and Canada at DG Trade, European Commission</w:t>
            </w:r>
          </w:p>
          <w:p w14:paraId="193491A0" w14:textId="77777777" w:rsidR="00C3246E" w:rsidRDefault="00C3246E" w:rsidP="00C3246E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</w:pPr>
          </w:p>
          <w:p w14:paraId="3C814F48" w14:textId="43AC791E" w:rsidR="00966CAA" w:rsidRPr="00096437" w:rsidRDefault="00966CA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Introduction of Keynote Speaker</w:t>
            </w:r>
            <w:r w:rsidR="00685127" w:rsidRPr="00096437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>:</w:t>
            </w:r>
            <w:r w:rsidRPr="00096437">
              <w:rPr>
                <w:rFonts w:asciiTheme="majorHAnsi" w:hAnsiTheme="majorHAnsi" w:cstheme="majorHAnsi"/>
                <w:iCs/>
                <w:sz w:val="22"/>
                <w:szCs w:val="22"/>
                <w:lang w:val="en-CA"/>
              </w:rPr>
              <w:t xml:space="preserve"> </w:t>
            </w:r>
            <w:r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Mark Camilleri, </w:t>
            </w:r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>President of the Canada EU Trade and Investment Association</w:t>
            </w:r>
          </w:p>
          <w:p w14:paraId="7467DA60" w14:textId="77777777" w:rsidR="0038480F" w:rsidRPr="00096437" w:rsidRDefault="0038480F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38E121A4" w14:textId="4AAF5F45" w:rsidR="00966CAA" w:rsidRPr="00096437" w:rsidRDefault="00685127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Keynote </w:t>
            </w:r>
            <w:r w:rsidR="00966CAA"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Address of </w:t>
            </w:r>
            <w:r w:rsidR="00966CAA"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Jean Charest</w:t>
            </w:r>
            <w:r w:rsidR="00966CAA"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>, former Premier of Québec</w:t>
            </w:r>
            <w:r w:rsidR="00F126B4"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&amp;</w:t>
            </w:r>
            <w:r w:rsidR="00966CAA"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Partner at McCarthy </w:t>
            </w:r>
            <w:proofErr w:type="spellStart"/>
            <w:r w:rsidR="00966CAA"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>Tétrault</w:t>
            </w:r>
            <w:proofErr w:type="spellEnd"/>
            <w:r w:rsidR="00966CAA"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="00F126B4"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>LLP</w:t>
            </w:r>
          </w:p>
          <w:p w14:paraId="0A797F84" w14:textId="721DB175" w:rsidR="00966CAA" w:rsidRPr="00096437" w:rsidRDefault="00966CA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</w:p>
          <w:p w14:paraId="10632A1A" w14:textId="63E15F16" w:rsidR="00966CAA" w:rsidRPr="00096437" w:rsidRDefault="00966CA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Networking break</w:t>
            </w:r>
          </w:p>
          <w:p w14:paraId="39A9F312" w14:textId="744811EA" w:rsidR="00064B0C" w:rsidRPr="00096437" w:rsidRDefault="00064B0C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4807" w:rsidRPr="00C3246E" w14:paraId="6198EAB8" w14:textId="77777777" w:rsidTr="00096437">
        <w:tc>
          <w:tcPr>
            <w:tcW w:w="2486" w:type="dxa"/>
          </w:tcPr>
          <w:p w14:paraId="4F7AB292" w14:textId="126FA7BA" w:rsidR="00994807" w:rsidRPr="00096437" w:rsidRDefault="0069477F" w:rsidP="00096437">
            <w:pPr>
              <w:tabs>
                <w:tab w:val="left" w:pos="1985"/>
              </w:tabs>
              <w:ind w:left="34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C6BF1" w:rsidRPr="00096437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1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0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– 1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C6BF1" w:rsidRPr="00096437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4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0</w:t>
            </w:r>
          </w:p>
        </w:tc>
        <w:tc>
          <w:tcPr>
            <w:tcW w:w="8287" w:type="dxa"/>
          </w:tcPr>
          <w:p w14:paraId="31217691" w14:textId="68F5D0FE" w:rsidR="00994807" w:rsidRPr="00096437" w:rsidRDefault="00D3398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Panel 1</w:t>
            </w:r>
            <w:r w:rsidR="0069477F"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4E4B5F"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CETA </w:t>
            </w:r>
            <w:r w:rsidR="00C2684A" w:rsidRPr="00096437">
              <w:rPr>
                <w:rFonts w:asciiTheme="majorHAnsi" w:hAnsiTheme="majorHAnsi" w:cstheme="majorHAnsi"/>
                <w:sz w:val="22"/>
                <w:szCs w:val="22"/>
              </w:rPr>
              <w:t>as a Platform for Partnership</w:t>
            </w:r>
            <w:r w:rsidR="000403D0"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25DFA" w:rsidRPr="00096437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="000403D0"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25DFA"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684A" w:rsidRPr="00096437">
              <w:rPr>
                <w:rFonts w:asciiTheme="majorHAnsi" w:hAnsiTheme="majorHAnsi" w:cstheme="majorHAnsi"/>
                <w:sz w:val="22"/>
                <w:szCs w:val="22"/>
              </w:rPr>
              <w:t>An Industry Perspective</w:t>
            </w:r>
          </w:p>
          <w:p w14:paraId="6A4CE58F" w14:textId="32DDB7BD" w:rsidR="00892FC3" w:rsidRPr="00096437" w:rsidRDefault="00892FC3" w:rsidP="00096437">
            <w:pPr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(Panel discussion on </w:t>
            </w:r>
            <w:r w:rsidR="00C2684A" w:rsidRPr="0009643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how CETA </w:t>
            </w:r>
            <w:r w:rsidR="00F126B4" w:rsidRPr="0009643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can be leveraged </w:t>
            </w:r>
            <w:r w:rsidR="00BA40B9" w:rsidRPr="0009643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with a focus on the next frontiers of regulatory cooperation</w:t>
            </w:r>
            <w:r w:rsidR="00EC3C11" w:rsidRPr="0009643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followed by Q&amp;A</w:t>
            </w:r>
            <w:r w:rsidRPr="0009643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  <w:p w14:paraId="2708CF5B" w14:textId="1807A6D6" w:rsidR="00353257" w:rsidRPr="00096437" w:rsidRDefault="00353257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980BDF" w14:textId="4C327D82" w:rsidR="00353257" w:rsidRPr="00096437" w:rsidRDefault="00353257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Speakers:</w:t>
            </w:r>
          </w:p>
          <w:p w14:paraId="3CE1418E" w14:textId="5176E822" w:rsidR="005516FC" w:rsidRPr="00096437" w:rsidRDefault="005516FC" w:rsidP="00096437">
            <w:pPr>
              <w:pStyle w:val="Paragraphedeliste"/>
              <w:numPr>
                <w:ilvl w:val="0"/>
                <w:numId w:val="7"/>
              </w:numPr>
              <w:tabs>
                <w:tab w:val="left" w:pos="1985"/>
              </w:tabs>
              <w:ind w:left="669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096437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en-GB"/>
              </w:rPr>
              <w:t>Laura Jones</w:t>
            </w:r>
            <w:r w:rsidRPr="00096437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, Executive Vice-President, Canadian Federation of Independent Businesses</w:t>
            </w:r>
          </w:p>
          <w:p w14:paraId="636BE29B" w14:textId="3DC0FDED" w:rsidR="005516FC" w:rsidRPr="00096437" w:rsidRDefault="005516FC" w:rsidP="00096437">
            <w:pPr>
              <w:pStyle w:val="Paragraphedeliste"/>
              <w:numPr>
                <w:ilvl w:val="0"/>
                <w:numId w:val="7"/>
              </w:numPr>
              <w:tabs>
                <w:tab w:val="left" w:pos="1985"/>
              </w:tabs>
              <w:ind w:left="669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096437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en-GB"/>
              </w:rPr>
              <w:t>Pascal Kerneis</w:t>
            </w:r>
            <w:r w:rsidRPr="00096437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, Managing Director, European Services Forum</w:t>
            </w:r>
          </w:p>
          <w:p w14:paraId="02A9F039" w14:textId="62030C53" w:rsidR="007003CE" w:rsidRPr="00096437" w:rsidRDefault="007003CE" w:rsidP="00096437">
            <w:pPr>
              <w:pStyle w:val="Paragraphedeliste"/>
              <w:numPr>
                <w:ilvl w:val="0"/>
                <w:numId w:val="7"/>
              </w:numPr>
              <w:tabs>
                <w:tab w:val="left" w:pos="1985"/>
              </w:tabs>
              <w:ind w:left="669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096437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en-GB"/>
              </w:rPr>
              <w:t>Eleonora Catella</w:t>
            </w:r>
            <w:r w:rsidRPr="00096437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, Deputy Director, International Relations, </w:t>
            </w:r>
            <w:proofErr w:type="spellStart"/>
            <w:r w:rsidRPr="00096437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BusinessEurope</w:t>
            </w:r>
            <w:proofErr w:type="spellEnd"/>
          </w:p>
          <w:p w14:paraId="29FCC577" w14:textId="20650712" w:rsidR="005516FC" w:rsidRPr="00096437" w:rsidRDefault="005516FC" w:rsidP="00096437">
            <w:pPr>
              <w:pStyle w:val="Paragraphedeliste"/>
              <w:numPr>
                <w:ilvl w:val="0"/>
                <w:numId w:val="7"/>
              </w:numPr>
              <w:tabs>
                <w:tab w:val="left" w:pos="1985"/>
              </w:tabs>
              <w:ind w:left="669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096437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en-GB"/>
              </w:rPr>
              <w:t>Michael Harvey</w:t>
            </w:r>
            <w:r w:rsidRPr="00096437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, VP Policy &amp; International, Canadian Chamber of Commerce</w:t>
            </w:r>
          </w:p>
          <w:p w14:paraId="4A6B7308" w14:textId="77777777" w:rsidR="00494319" w:rsidRPr="00096437" w:rsidRDefault="00494319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E1E848" w14:textId="10B5A805" w:rsidR="00D3398A" w:rsidRPr="00096437" w:rsidRDefault="004E4B5F" w:rsidP="00096437">
            <w:pPr>
              <w:pStyle w:val="Titre1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b w:val="0"/>
                <w:bCs w:val="0"/>
                <w:kern w:val="0"/>
                <w:sz w:val="22"/>
                <w:szCs w:val="22"/>
              </w:rPr>
              <w:t>Moderator</w:t>
            </w:r>
            <w:r w:rsidR="00994807" w:rsidRPr="00096437">
              <w:rPr>
                <w:rFonts w:asciiTheme="majorHAnsi" w:hAnsiTheme="majorHAnsi" w:cstheme="majorHAnsi"/>
                <w:b w:val="0"/>
                <w:bCs w:val="0"/>
                <w:kern w:val="0"/>
                <w:sz w:val="22"/>
                <w:szCs w:val="22"/>
              </w:rPr>
              <w:t xml:space="preserve">: </w:t>
            </w:r>
            <w:r w:rsidR="00D3398A" w:rsidRPr="00096437">
              <w:rPr>
                <w:rFonts w:asciiTheme="majorHAnsi" w:hAnsiTheme="majorHAnsi" w:cstheme="majorHAnsi"/>
                <w:kern w:val="0"/>
                <w:sz w:val="22"/>
                <w:szCs w:val="22"/>
              </w:rPr>
              <w:t xml:space="preserve">Melina </w:t>
            </w:r>
            <w:proofErr w:type="gramStart"/>
            <w:r w:rsidR="00D3398A" w:rsidRPr="00096437">
              <w:rPr>
                <w:rFonts w:asciiTheme="majorHAnsi" w:hAnsiTheme="majorHAnsi" w:cstheme="majorHAnsi"/>
                <w:kern w:val="0"/>
                <w:sz w:val="22"/>
                <w:szCs w:val="22"/>
              </w:rPr>
              <w:t>Howard</w:t>
            </w:r>
            <w:r w:rsidR="00D3398A" w:rsidRPr="00096437">
              <w:rPr>
                <w:rFonts w:asciiTheme="majorHAnsi" w:hAnsiTheme="majorHAnsi" w:cstheme="majorHAnsi"/>
                <w:b w:val="0"/>
                <w:bCs w:val="0"/>
                <w:kern w:val="0"/>
                <w:sz w:val="22"/>
                <w:szCs w:val="22"/>
              </w:rPr>
              <w:t xml:space="preserve">,  </w:t>
            </w:r>
            <w:proofErr w:type="spellStart"/>
            <w:r w:rsidR="00D3398A" w:rsidRPr="00096437">
              <w:rPr>
                <w:rFonts w:asciiTheme="majorHAnsi" w:hAnsiTheme="majorHAnsi" w:cstheme="majorHAnsi"/>
                <w:b w:val="0"/>
                <w:bCs w:val="0"/>
                <w:kern w:val="0"/>
                <w:sz w:val="22"/>
                <w:szCs w:val="22"/>
              </w:rPr>
              <w:t>Busines</w:t>
            </w:r>
            <w:proofErr w:type="spellEnd"/>
            <w:proofErr w:type="gramEnd"/>
            <w:r w:rsidR="00D3398A" w:rsidRPr="00096437">
              <w:rPr>
                <w:rFonts w:asciiTheme="majorHAnsi" w:hAnsiTheme="majorHAnsi" w:cstheme="majorHAnsi"/>
                <w:b w:val="0"/>
                <w:bCs w:val="0"/>
                <w:kern w:val="0"/>
                <w:sz w:val="22"/>
                <w:szCs w:val="22"/>
              </w:rPr>
              <w:t xml:space="preserve"> Developer Director, </w:t>
            </w:r>
            <w:proofErr w:type="spellStart"/>
            <w:r w:rsidR="00D3398A" w:rsidRPr="00096437">
              <w:rPr>
                <w:rFonts w:asciiTheme="majorHAnsi" w:hAnsiTheme="majorHAnsi" w:cstheme="majorHAnsi"/>
                <w:b w:val="0"/>
                <w:bCs w:val="0"/>
                <w:kern w:val="0"/>
                <w:sz w:val="22"/>
                <w:szCs w:val="22"/>
              </w:rPr>
              <w:t>Fidefield</w:t>
            </w:r>
            <w:proofErr w:type="spellEnd"/>
            <w:r w:rsidR="00D3398A" w:rsidRPr="00096437">
              <w:rPr>
                <w:rFonts w:asciiTheme="majorHAnsi" w:hAnsiTheme="majorHAnsi" w:cstheme="majorHAnsi"/>
                <w:b w:val="0"/>
                <w:bCs w:val="0"/>
                <w:kern w:val="0"/>
                <w:sz w:val="22"/>
                <w:szCs w:val="22"/>
              </w:rPr>
              <w:t xml:space="preserve"> – Luxembourg</w:t>
            </w:r>
          </w:p>
        </w:tc>
      </w:tr>
      <w:tr w:rsidR="00C2684A" w:rsidRPr="00C3246E" w14:paraId="32E839F4" w14:textId="77777777" w:rsidTr="00096437">
        <w:tc>
          <w:tcPr>
            <w:tcW w:w="2486" w:type="dxa"/>
          </w:tcPr>
          <w:p w14:paraId="0F72188B" w14:textId="423FF4F1" w:rsidR="00C2684A" w:rsidRPr="00096437" w:rsidRDefault="00C2684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87" w:type="dxa"/>
          </w:tcPr>
          <w:p w14:paraId="272433E9" w14:textId="0561060E" w:rsidR="00C2684A" w:rsidRPr="00096437" w:rsidRDefault="00C2684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  <w:tr w:rsidR="00C2684A" w:rsidRPr="00C3246E" w14:paraId="0AEC02D8" w14:textId="77777777" w:rsidTr="00096437">
        <w:tc>
          <w:tcPr>
            <w:tcW w:w="2486" w:type="dxa"/>
          </w:tcPr>
          <w:p w14:paraId="6CF0403B" w14:textId="5BB733EB" w:rsidR="00C2684A" w:rsidRPr="00096437" w:rsidRDefault="00C2684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16.</w:t>
            </w:r>
            <w:r w:rsidR="00CC6BF1"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4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0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– 1</w:t>
            </w:r>
            <w:r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7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C6BF1"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1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0</w:t>
            </w:r>
          </w:p>
          <w:p w14:paraId="1F5D2E2C" w14:textId="1B35DB02" w:rsidR="00C2684A" w:rsidRPr="00096437" w:rsidRDefault="00C2684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87" w:type="dxa"/>
          </w:tcPr>
          <w:p w14:paraId="57B1DD65" w14:textId="46C81948" w:rsidR="00C2684A" w:rsidRPr="00096437" w:rsidRDefault="00C2684A" w:rsidP="00096437">
            <w:pPr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Panel 2:</w:t>
            </w:r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CETA as a Platform for Cooperation – a Business Perspective</w:t>
            </w:r>
            <w:r w:rsidRPr="00096437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 xml:space="preserve"> </w:t>
            </w:r>
            <w:r w:rsidRPr="0009643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(Panel discussion on how CETA </w:t>
            </w:r>
            <w:r w:rsidRPr="00096437"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CA"/>
              </w:rPr>
              <w:t xml:space="preserve">can play a role in </w:t>
            </w:r>
            <w:r w:rsidRPr="00096437">
              <w:rPr>
                <w:rFonts w:asciiTheme="majorHAnsi" w:hAnsiTheme="majorHAnsi" w:cstheme="majorHAnsi"/>
                <w:i/>
                <w:iCs/>
                <w:color w:val="333333"/>
                <w:sz w:val="22"/>
                <w:szCs w:val="22"/>
                <w:shd w:val="clear" w:color="auto" w:fill="FFFFFF"/>
                <w:lang w:val="en-CA"/>
              </w:rPr>
              <w:t>establishing strategic and durable business links and new supply arrangements between the EU and Canada</w:t>
            </w:r>
            <w:r w:rsidRPr="0009643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followed by Q&amp;A)</w:t>
            </w:r>
          </w:p>
          <w:p w14:paraId="1056277E" w14:textId="5D873D96" w:rsidR="00C2684A" w:rsidRPr="00096437" w:rsidRDefault="00C2684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0C7463" w14:textId="55EC04BE" w:rsidR="00C2684A" w:rsidRPr="00096437" w:rsidRDefault="00C2684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Speakers </w:t>
            </w:r>
          </w:p>
          <w:p w14:paraId="6D024A85" w14:textId="5FCB2395" w:rsidR="00C2684A" w:rsidRPr="00096437" w:rsidRDefault="00C2684A" w:rsidP="00096437">
            <w:pPr>
              <w:pStyle w:val="Paragraphedeliste"/>
              <w:numPr>
                <w:ilvl w:val="0"/>
                <w:numId w:val="7"/>
              </w:numPr>
              <w:tabs>
                <w:tab w:val="left" w:pos="1985"/>
              </w:tabs>
              <w:ind w:left="669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Shannon Blanchard, </w:t>
            </w:r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>Director Supply Chain Innovation, Port of Saint-John</w:t>
            </w:r>
          </w:p>
          <w:p w14:paraId="56EEEDE8" w14:textId="3311B279" w:rsidR="00C2684A" w:rsidRPr="00096437" w:rsidRDefault="00C2684A" w:rsidP="00096437">
            <w:pPr>
              <w:pStyle w:val="Paragraphedeliste"/>
              <w:numPr>
                <w:ilvl w:val="0"/>
                <w:numId w:val="7"/>
              </w:numPr>
              <w:tabs>
                <w:tab w:val="left" w:pos="1985"/>
              </w:tabs>
              <w:ind w:left="669"/>
              <w:jc w:val="both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096437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Louis Roy, </w:t>
            </w:r>
            <w:r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CEO, </w:t>
            </w:r>
            <w:proofErr w:type="spellStart"/>
            <w:r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Optel</w:t>
            </w:r>
            <w:proofErr w:type="spellEnd"/>
            <w:r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Group</w:t>
            </w:r>
          </w:p>
          <w:p w14:paraId="48F88BB9" w14:textId="5CD03F2C" w:rsidR="0043633D" w:rsidRPr="00096437" w:rsidRDefault="0043633D" w:rsidP="00096437">
            <w:pPr>
              <w:pStyle w:val="Paragraphedeliste"/>
              <w:numPr>
                <w:ilvl w:val="0"/>
                <w:numId w:val="7"/>
              </w:numPr>
              <w:tabs>
                <w:tab w:val="left" w:pos="1985"/>
              </w:tabs>
              <w:ind w:left="669"/>
              <w:jc w:val="both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 w:rsidRPr="0009643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CA"/>
              </w:rPr>
              <w:t xml:space="preserve">Vincent </w:t>
            </w:r>
            <w:proofErr w:type="spellStart"/>
            <w:r w:rsidRPr="00096437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n-CA"/>
              </w:rPr>
              <w:t>Lhoest</w:t>
            </w:r>
            <w:proofErr w:type="spellEnd"/>
            <w:r w:rsidRPr="0009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 xml:space="preserve">, International Nuclear Business Development &amp; Sales Manager, </w:t>
            </w:r>
            <w:proofErr w:type="spellStart"/>
            <w:r w:rsidRPr="0009643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Tractebel</w:t>
            </w:r>
            <w:proofErr w:type="spellEnd"/>
          </w:p>
          <w:p w14:paraId="6E1486C9" w14:textId="77777777" w:rsidR="0043633D" w:rsidRPr="00096437" w:rsidRDefault="0043633D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</w:p>
          <w:p w14:paraId="6519BF24" w14:textId="3FACE116" w:rsidR="00C2684A" w:rsidRPr="00096437" w:rsidRDefault="00C2684A" w:rsidP="00096437">
            <w:pPr>
              <w:pStyle w:val="Titre1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Moderator: 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</w:rPr>
              <w:t>Rosie Bi</w:t>
            </w:r>
            <w:r w:rsidR="00F126B4" w:rsidRPr="0009643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966CAA" w:rsidRPr="00096437">
              <w:rPr>
                <w:rFonts w:asciiTheme="majorHAnsi" w:hAnsiTheme="majorHAnsi" w:cstheme="majorHAnsi"/>
                <w:sz w:val="22"/>
                <w:szCs w:val="22"/>
              </w:rPr>
              <w:t>chard</w:t>
            </w:r>
            <w:r w:rsidR="00966CAA" w:rsidRPr="0009643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, </w:t>
            </w:r>
            <w:r w:rsidR="0029378B" w:rsidRPr="0009643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Brussels Correspondent, </w:t>
            </w:r>
            <w:proofErr w:type="spellStart"/>
            <w:r w:rsidR="0029378B" w:rsidRPr="0009643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Deutshe</w:t>
            </w:r>
            <w:proofErr w:type="spellEnd"/>
            <w:r w:rsidR="0029378B" w:rsidRPr="0009643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29378B" w:rsidRPr="0009643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Welle</w:t>
            </w:r>
            <w:proofErr w:type="spellEnd"/>
            <w:r w:rsidR="0029378B" w:rsidRPr="0009643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54C0FE63" w14:textId="3506E8B2" w:rsidR="00C2684A" w:rsidRPr="00096437" w:rsidRDefault="00C2684A" w:rsidP="00096437">
            <w:pPr>
              <w:pStyle w:val="Titre1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C2684A" w:rsidRPr="00C3246E" w14:paraId="6AB6E276" w14:textId="77777777" w:rsidTr="00096437">
        <w:tc>
          <w:tcPr>
            <w:tcW w:w="2486" w:type="dxa"/>
          </w:tcPr>
          <w:p w14:paraId="7C462F05" w14:textId="7F00C82F" w:rsidR="00C2684A" w:rsidRPr="00096437" w:rsidRDefault="00C2684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17.</w:t>
            </w:r>
            <w:r w:rsidR="00CC6BF1"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10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– 17.</w:t>
            </w:r>
            <w:r w:rsidR="00CC6BF1"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1</w:t>
            </w:r>
            <w:r w:rsidRPr="00096437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5</w:t>
            </w:r>
          </w:p>
        </w:tc>
        <w:tc>
          <w:tcPr>
            <w:tcW w:w="8287" w:type="dxa"/>
          </w:tcPr>
          <w:p w14:paraId="6A87CCE2" w14:textId="60E1FB00" w:rsidR="00C2684A" w:rsidRPr="00096437" w:rsidRDefault="00C2684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Closing remarks, </w:t>
            </w:r>
            <w:r w:rsidRPr="00096437">
              <w:rPr>
                <w:rFonts w:asciiTheme="majorHAnsi" w:hAnsiTheme="majorHAnsi" w:cstheme="majorHAnsi"/>
                <w:b/>
                <w:sz w:val="22"/>
                <w:szCs w:val="22"/>
              </w:rPr>
              <w:t>Karen Kennedy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 xml:space="preserve"> Head of Trade, Canada’s Mission to the European Union </w:t>
            </w:r>
          </w:p>
          <w:p w14:paraId="2B86BABE" w14:textId="4A9D1639" w:rsidR="00C2684A" w:rsidRPr="00096437" w:rsidRDefault="00C2684A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  <w:tr w:rsidR="00C2684A" w:rsidRPr="00C3246E" w14:paraId="56825843" w14:textId="77777777" w:rsidTr="00096437">
        <w:tc>
          <w:tcPr>
            <w:tcW w:w="2486" w:type="dxa"/>
          </w:tcPr>
          <w:p w14:paraId="41B3A637" w14:textId="6DCDC1F8" w:rsidR="00C2684A" w:rsidRPr="00096437" w:rsidRDefault="00C2684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17.</w:t>
            </w:r>
            <w:r w:rsidR="00CC6BF1" w:rsidRPr="0009643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096437">
              <w:rPr>
                <w:rFonts w:asciiTheme="majorHAnsi" w:hAnsiTheme="majorHAnsi" w:cstheme="majorHAnsi"/>
                <w:sz w:val="22"/>
                <w:szCs w:val="22"/>
              </w:rPr>
              <w:t>5 – 18.30</w:t>
            </w:r>
          </w:p>
          <w:p w14:paraId="4F30ED6A" w14:textId="0B2C688D" w:rsidR="00C2684A" w:rsidRPr="00096437" w:rsidRDefault="00C2684A" w:rsidP="0038480F">
            <w:pPr>
              <w:tabs>
                <w:tab w:val="left" w:pos="19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87" w:type="dxa"/>
          </w:tcPr>
          <w:p w14:paraId="793A7980" w14:textId="6643D3D8" w:rsidR="00C2684A" w:rsidRPr="00096437" w:rsidRDefault="00C2684A" w:rsidP="00C3246E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>Cocktail Reception</w:t>
            </w:r>
          </w:p>
          <w:p w14:paraId="5CA24C1E" w14:textId="77777777" w:rsidR="00C3246E" w:rsidRPr="00096437" w:rsidRDefault="00C3246E" w:rsidP="00C3246E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1638E906" w14:textId="414F4F09" w:rsidR="00C3246E" w:rsidRPr="00096437" w:rsidRDefault="00C3246E" w:rsidP="00C3246E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0964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</w:p>
          <w:p w14:paraId="2310CC82" w14:textId="745FB1E7" w:rsidR="00C3246E" w:rsidRPr="00096437" w:rsidRDefault="00C3246E" w:rsidP="00096437">
            <w:pPr>
              <w:tabs>
                <w:tab w:val="left" w:pos="1985"/>
              </w:tabs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</w:tc>
      </w:tr>
    </w:tbl>
    <w:p w14:paraId="0625AB44" w14:textId="5322F0EA" w:rsidR="00C640E8" w:rsidRPr="00362570" w:rsidRDefault="00C3246E" w:rsidP="0038480F">
      <w:pPr>
        <w:tabs>
          <w:tab w:val="left" w:pos="1985"/>
        </w:tabs>
        <w:rPr>
          <w:rFonts w:ascii="Calibri Light" w:hAnsi="Calibri Light"/>
          <w:caps/>
        </w:rPr>
      </w:pPr>
      <w:r>
        <w:rPr>
          <w:rFonts w:ascii="Calibri Light" w:hAnsi="Calibri Light"/>
        </w:rPr>
        <w:t xml:space="preserve"> </w:t>
      </w:r>
    </w:p>
    <w:sectPr w:rsidR="00C640E8" w:rsidRPr="00362570" w:rsidSect="00096437">
      <w:headerReference w:type="default" r:id="rId9"/>
      <w:footerReference w:type="default" r:id="rId10"/>
      <w:pgSz w:w="12240" w:h="15840" w:code="1"/>
      <w:pgMar w:top="720" w:right="720" w:bottom="720" w:left="720" w:header="4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3FFD" w14:textId="77777777" w:rsidR="0014010C" w:rsidRDefault="0014010C" w:rsidP="00C00D1A">
      <w:r>
        <w:separator/>
      </w:r>
    </w:p>
  </w:endnote>
  <w:endnote w:type="continuationSeparator" w:id="0">
    <w:p w14:paraId="7A0CA200" w14:textId="77777777" w:rsidR="0014010C" w:rsidRDefault="0014010C" w:rsidP="00C0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608F" w14:textId="39BBB2A4" w:rsidR="00C04803" w:rsidRPr="00C04803" w:rsidRDefault="00C04803">
    <w:pPr>
      <w:pStyle w:val="Pieddepage"/>
      <w:rPr>
        <w:i/>
        <w:sz w:val="20"/>
        <w:szCs w:val="20"/>
      </w:rPr>
    </w:pPr>
    <w:r w:rsidRPr="00C04803">
      <w:rPr>
        <w:i/>
        <w:sz w:val="20"/>
        <w:szCs w:val="20"/>
      </w:rPr>
      <w:t>Organized on behalf of the Government of Canada</w:t>
    </w:r>
  </w:p>
  <w:p w14:paraId="144ACC38" w14:textId="2790C8B4" w:rsidR="00C04803" w:rsidRDefault="00C04803">
    <w:pPr>
      <w:pStyle w:val="Pieddepage"/>
    </w:pPr>
    <w:r w:rsidRPr="006738B8">
      <w:rPr>
        <w:noProof/>
        <w:lang w:val="en-CA" w:eastAsia="en-CA"/>
      </w:rPr>
      <w:drawing>
        <wp:inline distT="0" distB="0" distL="0" distR="0" wp14:anchorId="29E5EB50" wp14:editId="7481306E">
          <wp:extent cx="1224792" cy="679789"/>
          <wp:effectExtent l="0" t="0" r="0" b="635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02" cy="71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  <w:t xml:space="preserve">        </w:t>
    </w:r>
    <w:r w:rsidRPr="00CC2619">
      <w:rPr>
        <w:noProof/>
        <w:lang w:val="en-CA" w:eastAsia="en-CA"/>
      </w:rPr>
      <w:drawing>
        <wp:inline distT="0" distB="0" distL="0" distR="0" wp14:anchorId="1B2BDA08" wp14:editId="7C58384C">
          <wp:extent cx="1008404" cy="754149"/>
          <wp:effectExtent l="0" t="0" r="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6785" cy="77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5EA1" w14:textId="77777777" w:rsidR="0014010C" w:rsidRDefault="0014010C" w:rsidP="00C00D1A">
      <w:r>
        <w:separator/>
      </w:r>
    </w:p>
  </w:footnote>
  <w:footnote w:type="continuationSeparator" w:id="0">
    <w:p w14:paraId="45A4EC39" w14:textId="77777777" w:rsidR="0014010C" w:rsidRDefault="0014010C" w:rsidP="00C0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D653" w14:textId="37CA55A0" w:rsidR="00C04803" w:rsidRDefault="00C04803" w:rsidP="00C04803">
    <w:pPr>
      <w:pStyle w:val="En-tte"/>
      <w:jc w:val="center"/>
    </w:pPr>
    <w:r w:rsidRPr="00FA526D">
      <w:rPr>
        <w:noProof/>
        <w:lang w:val="en-CA" w:eastAsia="en-CA"/>
      </w:rPr>
      <w:drawing>
        <wp:inline distT="0" distB="0" distL="0" distR="0" wp14:anchorId="3DEBC109" wp14:editId="18595E7F">
          <wp:extent cx="3152775" cy="474937"/>
          <wp:effectExtent l="0" t="0" r="0" b="1905"/>
          <wp:docPr id="8" name="Picture 8" descr="I:\allstaff\Symbols_of_Canada\mission_identifiers\BREU\BREU_colour_jpg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llstaff\Symbols_of_Canada\mission_identifiers\BREU\BREU_colour_jpg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68" cy="50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BCE78" w14:textId="764D0F77" w:rsidR="005C3610" w:rsidRDefault="005C36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689"/>
    <w:multiLevelType w:val="hybridMultilevel"/>
    <w:tmpl w:val="55CE4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3228"/>
    <w:multiLevelType w:val="hybridMultilevel"/>
    <w:tmpl w:val="DA9885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17093"/>
    <w:multiLevelType w:val="hybridMultilevel"/>
    <w:tmpl w:val="ED382464"/>
    <w:lvl w:ilvl="0" w:tplc="E7DEEEF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C181B"/>
    <w:multiLevelType w:val="hybridMultilevel"/>
    <w:tmpl w:val="4A00376C"/>
    <w:lvl w:ilvl="0" w:tplc="08090001">
      <w:start w:val="1"/>
      <w:numFmt w:val="bullet"/>
      <w:lvlText w:val=""/>
      <w:lvlJc w:val="left"/>
      <w:pPr>
        <w:ind w:left="210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1E4DD2"/>
    <w:multiLevelType w:val="hybridMultilevel"/>
    <w:tmpl w:val="7930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3AFB"/>
    <w:multiLevelType w:val="hybridMultilevel"/>
    <w:tmpl w:val="D0E2E50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5776F"/>
    <w:multiLevelType w:val="hybridMultilevel"/>
    <w:tmpl w:val="4B9A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F52C0F"/>
    <w:multiLevelType w:val="hybridMultilevel"/>
    <w:tmpl w:val="FC0E35E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B5330"/>
    <w:multiLevelType w:val="hybridMultilevel"/>
    <w:tmpl w:val="AA6A29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584119"/>
    <w:multiLevelType w:val="hybridMultilevel"/>
    <w:tmpl w:val="2D54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0CE"/>
    <w:multiLevelType w:val="hybridMultilevel"/>
    <w:tmpl w:val="FB488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F4E8D"/>
    <w:multiLevelType w:val="hybridMultilevel"/>
    <w:tmpl w:val="C720B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154861"/>
    <w:multiLevelType w:val="hybridMultilevel"/>
    <w:tmpl w:val="DD5E18A4"/>
    <w:lvl w:ilvl="0" w:tplc="10F61D56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943A1"/>
    <w:multiLevelType w:val="hybridMultilevel"/>
    <w:tmpl w:val="75E0A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8C0856"/>
    <w:multiLevelType w:val="hybridMultilevel"/>
    <w:tmpl w:val="04FCA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C3020E"/>
    <w:multiLevelType w:val="hybridMultilevel"/>
    <w:tmpl w:val="1D4A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F12E0"/>
    <w:multiLevelType w:val="hybridMultilevel"/>
    <w:tmpl w:val="80A84FC8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E0374F7"/>
    <w:multiLevelType w:val="hybridMultilevel"/>
    <w:tmpl w:val="D9B803C8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79E21304"/>
    <w:multiLevelType w:val="hybridMultilevel"/>
    <w:tmpl w:val="648CB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307326">
    <w:abstractNumId w:val="16"/>
  </w:num>
  <w:num w:numId="2" w16cid:durableId="1708094744">
    <w:abstractNumId w:val="17"/>
  </w:num>
  <w:num w:numId="3" w16cid:durableId="504832547">
    <w:abstractNumId w:val="18"/>
  </w:num>
  <w:num w:numId="4" w16cid:durableId="617034338">
    <w:abstractNumId w:val="0"/>
  </w:num>
  <w:num w:numId="5" w16cid:durableId="194001837">
    <w:abstractNumId w:val="2"/>
  </w:num>
  <w:num w:numId="6" w16cid:durableId="2131514787">
    <w:abstractNumId w:val="10"/>
  </w:num>
  <w:num w:numId="7" w16cid:durableId="1155414924">
    <w:abstractNumId w:val="3"/>
  </w:num>
  <w:num w:numId="8" w16cid:durableId="1707947421">
    <w:abstractNumId w:val="6"/>
  </w:num>
  <w:num w:numId="9" w16cid:durableId="1752044885">
    <w:abstractNumId w:val="13"/>
  </w:num>
  <w:num w:numId="10" w16cid:durableId="47656255">
    <w:abstractNumId w:val="7"/>
  </w:num>
  <w:num w:numId="11" w16cid:durableId="725765997">
    <w:abstractNumId w:val="5"/>
  </w:num>
  <w:num w:numId="12" w16cid:durableId="277281">
    <w:abstractNumId w:val="1"/>
  </w:num>
  <w:num w:numId="13" w16cid:durableId="924917568">
    <w:abstractNumId w:val="15"/>
  </w:num>
  <w:num w:numId="14" w16cid:durableId="1284078197">
    <w:abstractNumId w:val="14"/>
  </w:num>
  <w:num w:numId="15" w16cid:durableId="1895043347">
    <w:abstractNumId w:val="4"/>
  </w:num>
  <w:num w:numId="16" w16cid:durableId="1896768297">
    <w:abstractNumId w:val="12"/>
  </w:num>
  <w:num w:numId="17" w16cid:durableId="775253989">
    <w:abstractNumId w:val="11"/>
  </w:num>
  <w:num w:numId="18" w16cid:durableId="951016521">
    <w:abstractNumId w:val="9"/>
  </w:num>
  <w:num w:numId="19" w16cid:durableId="1522668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28"/>
    <w:rsid w:val="00001D4D"/>
    <w:rsid w:val="000140BC"/>
    <w:rsid w:val="0002424A"/>
    <w:rsid w:val="0002627E"/>
    <w:rsid w:val="000403D0"/>
    <w:rsid w:val="000479CA"/>
    <w:rsid w:val="000506FB"/>
    <w:rsid w:val="000525E1"/>
    <w:rsid w:val="00062852"/>
    <w:rsid w:val="00064B0C"/>
    <w:rsid w:val="00074368"/>
    <w:rsid w:val="0009420D"/>
    <w:rsid w:val="00096437"/>
    <w:rsid w:val="000965FC"/>
    <w:rsid w:val="000C4D2E"/>
    <w:rsid w:val="000D6E59"/>
    <w:rsid w:val="000E2852"/>
    <w:rsid w:val="000F0ED5"/>
    <w:rsid w:val="000F2797"/>
    <w:rsid w:val="000F6E7B"/>
    <w:rsid w:val="001025B4"/>
    <w:rsid w:val="0014010C"/>
    <w:rsid w:val="001412C8"/>
    <w:rsid w:val="00141BA9"/>
    <w:rsid w:val="00147005"/>
    <w:rsid w:val="001753FA"/>
    <w:rsid w:val="001858B5"/>
    <w:rsid w:val="001870B6"/>
    <w:rsid w:val="001A5F60"/>
    <w:rsid w:val="001C4912"/>
    <w:rsid w:val="001D3439"/>
    <w:rsid w:val="001D4A92"/>
    <w:rsid w:val="001D68C8"/>
    <w:rsid w:val="00204B59"/>
    <w:rsid w:val="00231E60"/>
    <w:rsid w:val="0025253B"/>
    <w:rsid w:val="00254017"/>
    <w:rsid w:val="0025487D"/>
    <w:rsid w:val="0029378B"/>
    <w:rsid w:val="002A0AE3"/>
    <w:rsid w:val="002A4192"/>
    <w:rsid w:val="002C4AC1"/>
    <w:rsid w:val="002D338F"/>
    <w:rsid w:val="002E5267"/>
    <w:rsid w:val="002F1FDA"/>
    <w:rsid w:val="00300C8E"/>
    <w:rsid w:val="00324C4F"/>
    <w:rsid w:val="003451DD"/>
    <w:rsid w:val="003528EB"/>
    <w:rsid w:val="00353257"/>
    <w:rsid w:val="00362570"/>
    <w:rsid w:val="00364F91"/>
    <w:rsid w:val="0038480F"/>
    <w:rsid w:val="00385D61"/>
    <w:rsid w:val="00387359"/>
    <w:rsid w:val="00397BC8"/>
    <w:rsid w:val="003C3FDB"/>
    <w:rsid w:val="003C4A71"/>
    <w:rsid w:val="0043633D"/>
    <w:rsid w:val="0043644F"/>
    <w:rsid w:val="0044536E"/>
    <w:rsid w:val="0045237B"/>
    <w:rsid w:val="0045764B"/>
    <w:rsid w:val="0047254B"/>
    <w:rsid w:val="00494319"/>
    <w:rsid w:val="004A4E71"/>
    <w:rsid w:val="004D6199"/>
    <w:rsid w:val="004E4B5F"/>
    <w:rsid w:val="004E7A3E"/>
    <w:rsid w:val="004F0228"/>
    <w:rsid w:val="00504325"/>
    <w:rsid w:val="005128DF"/>
    <w:rsid w:val="00515907"/>
    <w:rsid w:val="005516FC"/>
    <w:rsid w:val="00573302"/>
    <w:rsid w:val="00580AFA"/>
    <w:rsid w:val="005C3610"/>
    <w:rsid w:val="005D1443"/>
    <w:rsid w:val="00601491"/>
    <w:rsid w:val="0060426D"/>
    <w:rsid w:val="00612C53"/>
    <w:rsid w:val="006221EA"/>
    <w:rsid w:val="00625DFA"/>
    <w:rsid w:val="006418D1"/>
    <w:rsid w:val="006632C5"/>
    <w:rsid w:val="006726A6"/>
    <w:rsid w:val="006738B8"/>
    <w:rsid w:val="00685127"/>
    <w:rsid w:val="00694132"/>
    <w:rsid w:val="0069477F"/>
    <w:rsid w:val="006B7D50"/>
    <w:rsid w:val="006C0EA7"/>
    <w:rsid w:val="006E3DE8"/>
    <w:rsid w:val="006E44BC"/>
    <w:rsid w:val="006E580A"/>
    <w:rsid w:val="007003CE"/>
    <w:rsid w:val="007053BC"/>
    <w:rsid w:val="007104B0"/>
    <w:rsid w:val="00715501"/>
    <w:rsid w:val="007158E5"/>
    <w:rsid w:val="00730AFC"/>
    <w:rsid w:val="007353F4"/>
    <w:rsid w:val="0074522D"/>
    <w:rsid w:val="00752701"/>
    <w:rsid w:val="0075771A"/>
    <w:rsid w:val="0078020D"/>
    <w:rsid w:val="007A381F"/>
    <w:rsid w:val="007C78A4"/>
    <w:rsid w:val="007F448E"/>
    <w:rsid w:val="007F4913"/>
    <w:rsid w:val="00807A9D"/>
    <w:rsid w:val="00825A1E"/>
    <w:rsid w:val="0084240B"/>
    <w:rsid w:val="00864E13"/>
    <w:rsid w:val="00865511"/>
    <w:rsid w:val="00892FC3"/>
    <w:rsid w:val="008C6D79"/>
    <w:rsid w:val="0096006C"/>
    <w:rsid w:val="00966CAA"/>
    <w:rsid w:val="00994807"/>
    <w:rsid w:val="009C7CB8"/>
    <w:rsid w:val="009D2907"/>
    <w:rsid w:val="009D66E5"/>
    <w:rsid w:val="009E62D3"/>
    <w:rsid w:val="00A10D50"/>
    <w:rsid w:val="00A15F98"/>
    <w:rsid w:val="00A33271"/>
    <w:rsid w:val="00A36EA2"/>
    <w:rsid w:val="00A84745"/>
    <w:rsid w:val="00AB01C0"/>
    <w:rsid w:val="00AB28AB"/>
    <w:rsid w:val="00AC6927"/>
    <w:rsid w:val="00AF081D"/>
    <w:rsid w:val="00B0012B"/>
    <w:rsid w:val="00B0140C"/>
    <w:rsid w:val="00B12137"/>
    <w:rsid w:val="00B16864"/>
    <w:rsid w:val="00B34E86"/>
    <w:rsid w:val="00B44BCB"/>
    <w:rsid w:val="00B772B1"/>
    <w:rsid w:val="00B95F53"/>
    <w:rsid w:val="00BA40B9"/>
    <w:rsid w:val="00BA75DF"/>
    <w:rsid w:val="00BB425D"/>
    <w:rsid w:val="00BB5C26"/>
    <w:rsid w:val="00BD5B2C"/>
    <w:rsid w:val="00C003EB"/>
    <w:rsid w:val="00C00D1A"/>
    <w:rsid w:val="00C04803"/>
    <w:rsid w:val="00C15AAC"/>
    <w:rsid w:val="00C2684A"/>
    <w:rsid w:val="00C3246E"/>
    <w:rsid w:val="00C43EFD"/>
    <w:rsid w:val="00C640E8"/>
    <w:rsid w:val="00C84C1C"/>
    <w:rsid w:val="00C872C2"/>
    <w:rsid w:val="00C93F28"/>
    <w:rsid w:val="00C945C6"/>
    <w:rsid w:val="00CC2A98"/>
    <w:rsid w:val="00CC4AEA"/>
    <w:rsid w:val="00CC6BF1"/>
    <w:rsid w:val="00D2288C"/>
    <w:rsid w:val="00D3398A"/>
    <w:rsid w:val="00D456DF"/>
    <w:rsid w:val="00D53EA9"/>
    <w:rsid w:val="00D545A1"/>
    <w:rsid w:val="00D82B7D"/>
    <w:rsid w:val="00D86485"/>
    <w:rsid w:val="00DA61FF"/>
    <w:rsid w:val="00DB3B4A"/>
    <w:rsid w:val="00DE6BF2"/>
    <w:rsid w:val="00DE73F3"/>
    <w:rsid w:val="00DF3799"/>
    <w:rsid w:val="00E01093"/>
    <w:rsid w:val="00E159F8"/>
    <w:rsid w:val="00E462FD"/>
    <w:rsid w:val="00E47192"/>
    <w:rsid w:val="00E5629D"/>
    <w:rsid w:val="00E7295F"/>
    <w:rsid w:val="00EB29D2"/>
    <w:rsid w:val="00EB3FCC"/>
    <w:rsid w:val="00EC3C11"/>
    <w:rsid w:val="00EE3180"/>
    <w:rsid w:val="00EE44A3"/>
    <w:rsid w:val="00EE5B14"/>
    <w:rsid w:val="00F03EE6"/>
    <w:rsid w:val="00F103EF"/>
    <w:rsid w:val="00F126B4"/>
    <w:rsid w:val="00F20700"/>
    <w:rsid w:val="00F52BC8"/>
    <w:rsid w:val="00F54608"/>
    <w:rsid w:val="00F5528A"/>
    <w:rsid w:val="00F600EE"/>
    <w:rsid w:val="00F761E2"/>
    <w:rsid w:val="00FA0D02"/>
    <w:rsid w:val="00FA4329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8B63D8"/>
  <w14:defaultImageDpi w14:val="300"/>
  <w15:docId w15:val="{40F878BC-82C6-CB44-89ED-A0704BB6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CC"/>
    <w:rPr>
      <w:rFonts w:ascii="Times New Roman" w:eastAsia="Times New Roman" w:hAnsi="Times New Roman" w:cs="Times New Roman"/>
      <w:lang w:eastAsia="en-GB"/>
    </w:rPr>
  </w:style>
  <w:style w:type="paragraph" w:styleId="Titre1">
    <w:name w:val="heading 1"/>
    <w:basedOn w:val="Normal"/>
    <w:link w:val="Titre1Car"/>
    <w:uiPriority w:val="9"/>
    <w:qFormat/>
    <w:rsid w:val="00B168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D1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0D1A"/>
  </w:style>
  <w:style w:type="paragraph" w:styleId="Pieddepage">
    <w:name w:val="footer"/>
    <w:basedOn w:val="Normal"/>
    <w:link w:val="PieddepageCar"/>
    <w:uiPriority w:val="99"/>
    <w:unhideWhenUsed/>
    <w:rsid w:val="00C00D1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0D1A"/>
  </w:style>
  <w:style w:type="paragraph" w:styleId="Paragraphedeliste">
    <w:name w:val="List Paragraph"/>
    <w:basedOn w:val="Normal"/>
    <w:uiPriority w:val="34"/>
    <w:qFormat/>
    <w:rsid w:val="006726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apple-converted-space">
    <w:name w:val="apple-converted-space"/>
    <w:basedOn w:val="Policepardfaut"/>
    <w:rsid w:val="00B95F53"/>
  </w:style>
  <w:style w:type="table" w:styleId="Grilledutableau">
    <w:name w:val="Table Grid"/>
    <w:basedOn w:val="TableauNormal"/>
    <w:uiPriority w:val="59"/>
    <w:rsid w:val="00B9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C3610"/>
    <w:rPr>
      <w:rFonts w:asciiTheme="minorHAnsi" w:eastAsiaTheme="minorEastAsia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C3610"/>
  </w:style>
  <w:style w:type="character" w:styleId="Appelnotedebasdep">
    <w:name w:val="footnote reference"/>
    <w:basedOn w:val="Policepardfaut"/>
    <w:uiPriority w:val="99"/>
    <w:unhideWhenUsed/>
    <w:rsid w:val="005C361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864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86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1686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EE318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231E60"/>
    <w:rPr>
      <w:b/>
      <w:bCs/>
    </w:rPr>
  </w:style>
  <w:style w:type="character" w:customStyle="1" w:styleId="jpfdse">
    <w:name w:val="jpfdse"/>
    <w:basedOn w:val="Policepardfaut"/>
    <w:rsid w:val="000403D0"/>
  </w:style>
  <w:style w:type="character" w:styleId="Marquedecommentaire">
    <w:name w:val="annotation reference"/>
    <w:basedOn w:val="Policepardfaut"/>
    <w:uiPriority w:val="99"/>
    <w:semiHidden/>
    <w:unhideWhenUsed/>
    <w:rsid w:val="009600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0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0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0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06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2A419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ADAFE-5756-4196-B8AA-B3CE172C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Camilleri</dc:creator>
  <cp:keywords/>
  <dc:description/>
  <cp:lastModifiedBy>Samir Ayoub</cp:lastModifiedBy>
  <cp:revision>2</cp:revision>
  <cp:lastPrinted>2023-02-03T13:32:00Z</cp:lastPrinted>
  <dcterms:created xsi:type="dcterms:W3CDTF">2023-03-21T13:22:00Z</dcterms:created>
  <dcterms:modified xsi:type="dcterms:W3CDTF">2023-03-21T13:22:00Z</dcterms:modified>
</cp:coreProperties>
</file>